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26-14-025</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Jahresvertrag 2026/2027 Reinigung von Straßeneinläufen im gesamten Stadtgebiet der Kreisstadt Merzig</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 xml:space="preserve">Das Leistungsverzeichnis umfaßt die Leistungen für die Sinkkastenreinigung und alle damit
zusammenhängenden Arbeiten. Die zu reinigenden Sinkkästen kann der AG entsprechend den jeweiligen Erfordernissen anpassen (Zugänge und Abgänge). Bei einer Änderung hat der AG das dann nach der tatsächlich erbrachten Leistung zustehende Entgelt zu zahlen. </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